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48408A8"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634D07">
        <w:rPr>
          <w:rFonts w:eastAsia="Malgun Gothic"/>
          <w:b/>
          <w:bCs/>
          <w:sz w:val="28"/>
        </w:rPr>
        <w:t>4944</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12F8C78F"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725DCB">
        <w:t xml:space="preserve">Carrier Leakage </w:t>
      </w:r>
      <w:r w:rsidR="008829FA" w:rsidRPr="00E446E8">
        <w:t>in FR1</w:t>
      </w:r>
    </w:p>
    <w:p w14:paraId="0483421E" w14:textId="64E581B2" w:rsidR="00A2208A" w:rsidRPr="00E446E8" w:rsidRDefault="00A2208A" w:rsidP="00A2208A">
      <w:pPr>
        <w:rPr>
          <w:bCs/>
          <w:lang w:eastAsia="ja-JP"/>
        </w:rPr>
      </w:pPr>
      <w:r w:rsidRPr="00E446E8">
        <w:rPr>
          <w:b/>
        </w:rPr>
        <w:t>Agenda Item:</w:t>
      </w:r>
      <w:r w:rsidR="00BB2F5E">
        <w:tab/>
      </w:r>
      <w:r w:rsidR="00BB2F5E">
        <w:tab/>
        <w:t>5.3.13.</w:t>
      </w:r>
      <w:r w:rsidR="00EE0D98">
        <w:t>17</w:t>
      </w:r>
      <w:bookmarkStart w:id="0" w:name="_GoBack"/>
      <w:bookmarkEnd w:id="0"/>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4C06F58" w:rsidR="00E446E8" w:rsidRDefault="00725DCB" w:rsidP="008829FA">
      <w:pPr>
        <w:rPr>
          <w:lang w:eastAsia="en-US"/>
        </w:rPr>
      </w:pPr>
      <w:r>
        <w:rPr>
          <w:lang w:eastAsia="en-US"/>
        </w:rPr>
        <w:t xml:space="preserve">The Carrier Leakage describes to which extend the unmodulated carrier frequency is present in the transmitted signal and is defined in </w:t>
      </w:r>
      <w:r w:rsidR="00E446E8">
        <w:rPr>
          <w:lang w:eastAsia="en-US"/>
        </w:rPr>
        <w:t>section 6.4.2.</w:t>
      </w:r>
      <w:r>
        <w:rPr>
          <w:lang w:eastAsia="en-US"/>
        </w:rPr>
        <w:t>2</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FA1826B" w14:textId="77777777" w:rsidR="00725DCB" w:rsidRPr="00725DCB" w:rsidRDefault="00725DCB" w:rsidP="00725DCB">
      <w:pPr>
        <w:shd w:val="clear" w:color="auto" w:fill="E7E6E6"/>
        <w:spacing w:after="180" w:line="240" w:lineRule="auto"/>
        <w:rPr>
          <w:i/>
          <w:sz w:val="20"/>
          <w:szCs w:val="20"/>
          <w:lang w:val="en-GB" w:eastAsia="de-DE"/>
        </w:rPr>
      </w:pPr>
      <w:bookmarkStart w:id="3" w:name="_Toc518915436"/>
      <w:bookmarkStart w:id="4" w:name="_Hlk497415844"/>
      <w:r w:rsidRPr="00725DCB">
        <w:rPr>
          <w:i/>
          <w:sz w:val="20"/>
          <w:szCs w:val="20"/>
          <w:lang w:val="en-GB" w:eastAsia="de-DE"/>
        </w:rPr>
        <w:t>6.4.2.2</w:t>
      </w:r>
      <w:r w:rsidRPr="00725DCB">
        <w:rPr>
          <w:i/>
          <w:sz w:val="20"/>
          <w:szCs w:val="20"/>
          <w:lang w:val="en-GB" w:eastAsia="de-DE"/>
        </w:rPr>
        <w:tab/>
        <w:t>Carrier leakage</w:t>
      </w:r>
      <w:bookmarkEnd w:id="3"/>
    </w:p>
    <w:bookmarkEnd w:id="4"/>
    <w:p w14:paraId="721534C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is an additive sinusoid waveform whose frequency is the same as the modulated waveform carrier frequency. The measurement interval is one slot in the time domain.</w:t>
      </w:r>
    </w:p>
    <w:p w14:paraId="6DF035BC" w14:textId="77777777" w:rsidR="00725DCB" w:rsidRDefault="00725DCB" w:rsidP="00725DCB">
      <w:pPr>
        <w:shd w:val="clear" w:color="auto" w:fill="E7E6E6"/>
        <w:spacing w:after="180" w:line="240" w:lineRule="auto"/>
        <w:rPr>
          <w:i/>
          <w:sz w:val="20"/>
          <w:szCs w:val="20"/>
          <w:lang w:val="en-GB" w:eastAsia="de-DE"/>
        </w:rPr>
      </w:pPr>
      <w:r w:rsidRPr="00725DCB">
        <w:rPr>
          <w:rFonts w:hint="eastAsia"/>
          <w:i/>
          <w:sz w:val="20"/>
          <w:szCs w:val="20"/>
          <w:lang w:val="en-GB" w:eastAsia="de-DE"/>
        </w:rPr>
        <w:t>In the case that uplink sharing, the carrier leakage may have 7.5</w:t>
      </w:r>
      <w:r w:rsidRPr="00725DCB">
        <w:rPr>
          <w:i/>
          <w:sz w:val="20"/>
          <w:szCs w:val="20"/>
          <w:lang w:val="en-GB" w:eastAsia="de-DE"/>
        </w:rPr>
        <w:t xml:space="preserve"> </w:t>
      </w:r>
      <w:r w:rsidRPr="00725DCB">
        <w:rPr>
          <w:rFonts w:hint="eastAsia"/>
          <w:i/>
          <w:sz w:val="20"/>
          <w:szCs w:val="20"/>
          <w:lang w:val="en-GB" w:eastAsia="de-DE"/>
        </w:rPr>
        <w:t>kHz shift with the carrier frequency.</w:t>
      </w:r>
      <w:bookmarkStart w:id="5" w:name="_Toc518915437"/>
    </w:p>
    <w:p w14:paraId="0AC8F509" w14:textId="1864CBEE"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6.4.2.3</w:t>
      </w:r>
      <w:r w:rsidRPr="00725DCB">
        <w:rPr>
          <w:i/>
          <w:sz w:val="20"/>
          <w:szCs w:val="20"/>
          <w:lang w:val="en-GB" w:eastAsia="de-DE"/>
        </w:rPr>
        <w:tab/>
        <w:t>In-band emissions</w:t>
      </w:r>
      <w:bookmarkEnd w:id="5"/>
    </w:p>
    <w:p w14:paraId="5A6D0C1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475ECE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B0E41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average of the basic in-band emission measurement over 10 sub-frames shall not exceed the values specified in Table 6.4.2.3-1.</w:t>
      </w:r>
    </w:p>
    <w:p w14:paraId="4CE9D3DF"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25DCB" w:rsidRPr="00725DCB" w14:paraId="20A4D1FF" w14:textId="77777777" w:rsidTr="00B0724E">
        <w:trPr>
          <w:jc w:val="center"/>
        </w:trPr>
        <w:tc>
          <w:tcPr>
            <w:tcW w:w="1205" w:type="dxa"/>
            <w:tcBorders>
              <w:bottom w:val="single" w:sz="4" w:space="0" w:color="auto"/>
              <w:right w:val="single" w:sz="4" w:space="0" w:color="auto"/>
            </w:tcBorders>
            <w:shd w:val="clear" w:color="auto" w:fill="auto"/>
            <w:vAlign w:val="center"/>
          </w:tcPr>
          <w:p w14:paraId="4171DE8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87232E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170C8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F4762C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Applicable Frequencies</w:t>
            </w:r>
          </w:p>
        </w:tc>
      </w:tr>
      <w:tr w:rsidR="00725DCB" w:rsidRPr="00725DCB" w14:paraId="6E729904" w14:textId="77777777" w:rsidTr="00B0724E">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E18E08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lastRenderedPageBreak/>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B6B74E9"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470F9D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object w:dxaOrig="4099" w:dyaOrig="1120" w14:anchorId="5C1FA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45.75pt" o:ole="">
                  <v:imagedata r:id="rId8" o:title=""/>
                </v:shape>
                <o:OLEObject Type="Embed" ProgID="Equation.3" ShapeID="_x0000_i1025" DrawAspect="Content" ObjectID="_1595451590"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D2E90B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Any non-allocated (NOTE 2)</w:t>
            </w:r>
          </w:p>
        </w:tc>
      </w:tr>
      <w:tr w:rsidR="00725DCB" w:rsidRPr="00725DCB" w14:paraId="5BED0A8D" w14:textId="77777777" w:rsidTr="00B0724E">
        <w:trPr>
          <w:trHeight w:val="20"/>
          <w:jc w:val="center"/>
        </w:trPr>
        <w:tc>
          <w:tcPr>
            <w:tcW w:w="1205" w:type="dxa"/>
            <w:vMerge w:val="restart"/>
            <w:tcBorders>
              <w:top w:val="single" w:sz="4" w:space="0" w:color="auto"/>
              <w:right w:val="single" w:sz="4" w:space="0" w:color="auto"/>
            </w:tcBorders>
            <w:shd w:val="clear" w:color="auto" w:fill="auto"/>
            <w:vAlign w:val="center"/>
          </w:tcPr>
          <w:p w14:paraId="3D6514C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69DC017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383142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54C722B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68B5FF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(NOTES 2, 3)</w:t>
            </w:r>
          </w:p>
        </w:tc>
      </w:tr>
      <w:tr w:rsidR="00725DCB" w:rsidRPr="00725DCB" w14:paraId="5FAAA817" w14:textId="77777777" w:rsidTr="00B0724E">
        <w:trPr>
          <w:trHeight w:val="20"/>
          <w:jc w:val="center"/>
        </w:trPr>
        <w:tc>
          <w:tcPr>
            <w:tcW w:w="1205" w:type="dxa"/>
            <w:vMerge/>
            <w:tcBorders>
              <w:right w:val="single" w:sz="4" w:space="0" w:color="auto"/>
            </w:tcBorders>
            <w:shd w:val="clear" w:color="auto" w:fill="auto"/>
            <w:vAlign w:val="center"/>
          </w:tcPr>
          <w:p w14:paraId="2FBAA741"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AF2EE6"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9A6EF9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0441687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5C5262F1"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001FE9E4" w14:textId="77777777" w:rsidTr="00B0724E">
        <w:trPr>
          <w:trHeight w:val="208"/>
          <w:jc w:val="center"/>
        </w:trPr>
        <w:tc>
          <w:tcPr>
            <w:tcW w:w="1205" w:type="dxa"/>
            <w:vMerge w:val="restart"/>
            <w:tcBorders>
              <w:top w:val="single" w:sz="4" w:space="0" w:color="auto"/>
              <w:right w:val="single" w:sz="4" w:space="0" w:color="auto"/>
            </w:tcBorders>
            <w:shd w:val="clear" w:color="auto" w:fill="auto"/>
            <w:vAlign w:val="center"/>
          </w:tcPr>
          <w:p w14:paraId="30FF73D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530ADD4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62D71FF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71F3262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80B2F3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frequency (NOTES 4, 5)</w:t>
            </w:r>
          </w:p>
        </w:tc>
      </w:tr>
      <w:tr w:rsidR="00725DCB" w:rsidRPr="00725DCB" w14:paraId="6F3DDB54" w14:textId="77777777" w:rsidTr="00B0724E">
        <w:trPr>
          <w:trHeight w:val="208"/>
          <w:jc w:val="center"/>
        </w:trPr>
        <w:tc>
          <w:tcPr>
            <w:tcW w:w="1205" w:type="dxa"/>
            <w:vMerge/>
            <w:tcBorders>
              <w:top w:val="single" w:sz="4" w:space="0" w:color="auto"/>
              <w:right w:val="single" w:sz="4" w:space="0" w:color="auto"/>
            </w:tcBorders>
            <w:shd w:val="clear" w:color="auto" w:fill="auto"/>
            <w:vAlign w:val="center"/>
          </w:tcPr>
          <w:p w14:paraId="635C822E"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6EFAFAF2"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D7A152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3F89F06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9D86F98"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76375ABD" w14:textId="77777777" w:rsidTr="00B0724E">
        <w:trPr>
          <w:trHeight w:val="206"/>
          <w:jc w:val="center"/>
        </w:trPr>
        <w:tc>
          <w:tcPr>
            <w:tcW w:w="1205" w:type="dxa"/>
            <w:vMerge/>
            <w:tcBorders>
              <w:right w:val="single" w:sz="4" w:space="0" w:color="auto"/>
            </w:tcBorders>
            <w:shd w:val="clear" w:color="auto" w:fill="auto"/>
            <w:vAlign w:val="center"/>
          </w:tcPr>
          <w:p w14:paraId="33141FCD"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14BFBC"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050C54F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4524F82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3651ABC4"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936F945" w14:textId="77777777" w:rsidTr="00B0724E">
        <w:trPr>
          <w:trHeight w:val="206"/>
          <w:jc w:val="center"/>
        </w:trPr>
        <w:tc>
          <w:tcPr>
            <w:tcW w:w="1205" w:type="dxa"/>
            <w:vMerge/>
            <w:tcBorders>
              <w:right w:val="single" w:sz="4" w:space="0" w:color="auto"/>
            </w:tcBorders>
            <w:shd w:val="clear" w:color="auto" w:fill="auto"/>
            <w:vAlign w:val="center"/>
          </w:tcPr>
          <w:p w14:paraId="44A0EB03"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64B0B9"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DDC92DA"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1FAB9E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-40 dBm </w:t>
            </w:r>
            <w:r w:rsidRPr="00725DCB">
              <w:rPr>
                <w:i/>
                <w:sz w:val="20"/>
                <w:szCs w:val="20"/>
                <w:lang w:val="en-GB" w:eastAsia="de-DE"/>
              </w:rPr>
              <w:sym w:font="Symbol" w:char="F0A3"/>
            </w:r>
            <w:r w:rsidRPr="00725DCB">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4ABA540B"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AA31C73" w14:textId="77777777" w:rsidTr="00B0724E">
        <w:trPr>
          <w:trHeight w:val="424"/>
          <w:jc w:val="center"/>
        </w:trPr>
        <w:tc>
          <w:tcPr>
            <w:tcW w:w="9600" w:type="dxa"/>
            <w:gridSpan w:val="5"/>
            <w:tcBorders>
              <w:right w:val="single" w:sz="4" w:space="0" w:color="auto"/>
            </w:tcBorders>
            <w:shd w:val="clear" w:color="auto" w:fill="auto"/>
            <w:vAlign w:val="center"/>
          </w:tcPr>
          <w:p w14:paraId="7D05ACA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w:t>
            </w:r>
            <w:r w:rsidRPr="00725DCB">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5DBD3B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2:</w:t>
            </w:r>
            <w:r w:rsidRPr="00725DCB">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3F99523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3:</w:t>
            </w:r>
            <w:r w:rsidRPr="00725DCB">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77F2EB6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4:</w:t>
            </w:r>
            <w:r w:rsidRPr="00725DCB">
              <w:rPr>
                <w:i/>
                <w:sz w:val="20"/>
                <w:szCs w:val="20"/>
                <w:lang w:val="en-GB" w:eastAsia="de-DE"/>
              </w:rPr>
              <w:tab/>
              <w:t xml:space="preserve">The measurement bandwidth is 1 RB and the limit is expressed as a ratio of measured power in one non-allocated RB to the measured total power in all allocated RBs. </w:t>
            </w:r>
          </w:p>
          <w:p w14:paraId="3D3CD0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5:</w:t>
            </w:r>
            <w:r w:rsidRPr="00725DCB">
              <w:rPr>
                <w:i/>
                <w:sz w:val="20"/>
                <w:szCs w:val="20"/>
                <w:lang w:val="en-GB" w:eastAsia="de-DE"/>
              </w:rPr>
              <w:tab/>
              <w:t xml:space="preserve">The applicable frequencies for this limit are those that are enclosed in the RBs containing the carrier leakage frequency if </w:t>
            </w:r>
            <w:r w:rsidRPr="00725DCB">
              <w:rPr>
                <w:i/>
                <w:sz w:val="20"/>
                <w:szCs w:val="20"/>
                <w:lang w:val="en-GB" w:eastAsia="de-DE"/>
              </w:rPr>
              <w:object w:dxaOrig="440" w:dyaOrig="340" w14:anchorId="4547BC36">
                <v:shape id="_x0000_i1026" type="#_x0000_t75" style="width:21.75pt;height:18pt" o:ole="">
                  <v:imagedata r:id="rId10" o:title=""/>
                </v:shape>
                <o:OLEObject Type="Embed" ProgID="Equation.3" ShapeID="_x0000_i1026" DrawAspect="Content" ObjectID="_1595451591" r:id="rId11"/>
              </w:object>
            </w:r>
            <w:r w:rsidRPr="00725DCB">
              <w:rPr>
                <w:i/>
                <w:sz w:val="20"/>
                <w:szCs w:val="20"/>
                <w:lang w:val="en-GB" w:eastAsia="de-DE"/>
              </w:rPr>
              <w:t xml:space="preserve"> is odd, or in the two RBs immediately adjacent to the carrier leakage frequency if </w:t>
            </w:r>
            <w:r w:rsidRPr="00725DCB">
              <w:rPr>
                <w:i/>
                <w:sz w:val="20"/>
                <w:szCs w:val="20"/>
                <w:lang w:val="en-GB" w:eastAsia="de-DE"/>
              </w:rPr>
              <w:object w:dxaOrig="440" w:dyaOrig="340" w14:anchorId="6C0C4206">
                <v:shape id="_x0000_i1027" type="#_x0000_t75" style="width:21.75pt;height:18pt" o:ole="">
                  <v:imagedata r:id="rId12" o:title=""/>
                </v:shape>
                <o:OLEObject Type="Embed" ProgID="Equation.3" ShapeID="_x0000_i1027" DrawAspect="Content" ObjectID="_1595451592" r:id="rId13"/>
              </w:object>
            </w:r>
            <w:r w:rsidRPr="00725DCB">
              <w:rPr>
                <w:i/>
                <w:sz w:val="20"/>
                <w:szCs w:val="20"/>
                <w:lang w:val="en-GB" w:eastAsia="de-DE"/>
              </w:rPr>
              <w:t xml:space="preserve"> is even but excluding any allocated RB. </w:t>
            </w:r>
          </w:p>
          <w:p w14:paraId="6110727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6:</w:t>
            </w:r>
            <w:r w:rsidRPr="00725DCB">
              <w:rPr>
                <w:i/>
                <w:sz w:val="20"/>
                <w:szCs w:val="20"/>
                <w:lang w:val="en-GB" w:eastAsia="de-DE"/>
              </w:rPr>
              <w:tab/>
            </w:r>
            <w:r w:rsidRPr="00725DCB">
              <w:rPr>
                <w:i/>
                <w:sz w:val="20"/>
                <w:szCs w:val="20"/>
                <w:lang w:val="en-GB" w:eastAsia="de-DE"/>
              </w:rPr>
              <w:object w:dxaOrig="480" w:dyaOrig="360" w14:anchorId="2D4DDB4A">
                <v:shape id="_x0000_i1028" type="#_x0000_t75" style="width:24.75pt;height:18pt" o:ole="">
                  <v:imagedata r:id="rId14" o:title=""/>
                </v:shape>
                <o:OLEObject Type="Embed" ProgID="Equation.3" ShapeID="_x0000_i1028" DrawAspect="Content" ObjectID="_1595451593" r:id="rId15"/>
              </w:object>
            </w:r>
            <w:r w:rsidRPr="00725DCB">
              <w:rPr>
                <w:i/>
                <w:sz w:val="20"/>
                <w:szCs w:val="20"/>
                <w:lang w:val="en-GB" w:eastAsia="de-DE"/>
              </w:rPr>
              <w:t xml:space="preserve"> is the Transmission Bandwidth (see Figure 5.3.3). </w:t>
            </w:r>
          </w:p>
          <w:p w14:paraId="4F0329A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7:</w:t>
            </w:r>
            <w:r w:rsidRPr="00725DCB">
              <w:rPr>
                <w:i/>
                <w:sz w:val="20"/>
                <w:szCs w:val="20"/>
                <w:lang w:val="en-GB" w:eastAsia="de-DE"/>
              </w:rPr>
              <w:tab/>
            </w:r>
            <w:r w:rsidRPr="00725DCB">
              <w:rPr>
                <w:i/>
                <w:sz w:val="20"/>
                <w:szCs w:val="20"/>
                <w:lang w:val="en-GB" w:eastAsia="de-DE"/>
              </w:rPr>
              <w:object w:dxaOrig="440" w:dyaOrig="340" w14:anchorId="1EE26A25">
                <v:shape id="_x0000_i1029" type="#_x0000_t75" style="width:21.75pt;height:18pt" o:ole="">
                  <v:imagedata r:id="rId16" o:title=""/>
                </v:shape>
                <o:OLEObject Type="Embed" ProgID="Equation.3" ShapeID="_x0000_i1029" DrawAspect="Content" ObjectID="_1595451594" r:id="rId17"/>
              </w:object>
            </w:r>
            <w:r w:rsidRPr="00725DCB">
              <w:rPr>
                <w:i/>
                <w:sz w:val="20"/>
                <w:szCs w:val="20"/>
                <w:lang w:val="en-GB" w:eastAsia="de-DE"/>
              </w:rPr>
              <w:t xml:space="preserve"> is the Transmission Bandwidth Configuration (see Figure 5.3.3). </w:t>
            </w:r>
          </w:p>
          <w:p w14:paraId="4762966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8:</w:t>
            </w:r>
            <w:r w:rsidRPr="00725DCB">
              <w:rPr>
                <w:i/>
                <w:sz w:val="20"/>
                <w:szCs w:val="20"/>
                <w:lang w:val="en-GB" w:eastAsia="de-DE"/>
              </w:rPr>
              <w:tab/>
            </w:r>
            <w:r w:rsidRPr="00725DCB">
              <w:rPr>
                <w:i/>
                <w:sz w:val="20"/>
                <w:szCs w:val="20"/>
                <w:lang w:val="en-GB" w:eastAsia="de-DE"/>
              </w:rPr>
              <w:object w:dxaOrig="620" w:dyaOrig="279" w14:anchorId="6F0ED31F">
                <v:shape id="_x0000_i1030" type="#_x0000_t75" style="width:31.5pt;height:14.25pt" o:ole="">
                  <v:imagedata r:id="rId18" o:title=""/>
                </v:shape>
                <o:OLEObject Type="Embed" ProgID="Equation.3" ShapeID="_x0000_i1030" DrawAspect="Content" ObjectID="_1595451595" r:id="rId19"/>
              </w:object>
            </w:r>
            <w:r w:rsidRPr="00725DCB">
              <w:rPr>
                <w:i/>
                <w:sz w:val="20"/>
                <w:szCs w:val="20"/>
                <w:lang w:val="en-GB" w:eastAsia="de-DE"/>
              </w:rPr>
              <w:t xml:space="preserve"> is the limit specified in Table 6.4.2.1-1 for the modulation format used in the allocated RBs. </w:t>
            </w:r>
          </w:p>
          <w:p w14:paraId="2C30F55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9:</w:t>
            </w:r>
            <w:r w:rsidRPr="00725DCB">
              <w:rPr>
                <w:i/>
                <w:sz w:val="20"/>
                <w:szCs w:val="20"/>
                <w:lang w:val="en-GB" w:eastAsia="de-DE"/>
              </w:rPr>
              <w:tab/>
            </w:r>
            <w:r w:rsidRPr="00725DCB">
              <w:rPr>
                <w:i/>
                <w:sz w:val="20"/>
                <w:szCs w:val="20"/>
                <w:lang w:val="en-GB" w:eastAsia="de-DE"/>
              </w:rPr>
              <w:object w:dxaOrig="400" w:dyaOrig="300" w14:anchorId="26C6499E">
                <v:shape id="_x0000_i1031" type="#_x0000_t75" style="width:20.25pt;height:15pt" o:ole="">
                  <v:imagedata r:id="rId20" o:title=""/>
                </v:shape>
                <o:OLEObject Type="Embed" ProgID="Equation.3" ShapeID="_x0000_i1031" DrawAspect="Content" ObjectID="_1595451596" r:id="rId21"/>
              </w:object>
            </w:r>
            <w:r w:rsidRPr="00725DCB">
              <w:rPr>
                <w:i/>
                <w:sz w:val="20"/>
                <w:szCs w:val="20"/>
                <w:lang w:val="en-GB" w:eastAsia="de-DE"/>
              </w:rPr>
              <w:t xml:space="preserve"> is the starting frequency offset between the allocated RB and the measured non-allocated RB (e.g. </w:t>
            </w:r>
            <w:r w:rsidRPr="00725DCB">
              <w:rPr>
                <w:i/>
                <w:sz w:val="20"/>
                <w:szCs w:val="20"/>
                <w:lang w:val="en-GB" w:eastAsia="de-DE"/>
              </w:rPr>
              <w:object w:dxaOrig="760" w:dyaOrig="340" w14:anchorId="200307E5">
                <v:shape id="_x0000_i1032" type="#_x0000_t75" style="width:39pt;height:18pt" o:ole="">
                  <v:imagedata r:id="rId22" o:title=""/>
                </v:shape>
                <o:OLEObject Type="Embed" ProgID="Equation.3" ShapeID="_x0000_i1032" DrawAspect="Content" ObjectID="_1595451597" r:id="rId23"/>
              </w:object>
            </w:r>
            <w:r w:rsidRPr="00725DCB">
              <w:rPr>
                <w:i/>
                <w:sz w:val="20"/>
                <w:szCs w:val="20"/>
                <w:lang w:val="en-GB" w:eastAsia="de-DE"/>
              </w:rPr>
              <w:t xml:space="preserve"> or </w:t>
            </w:r>
            <w:r w:rsidRPr="00725DCB">
              <w:rPr>
                <w:i/>
                <w:sz w:val="20"/>
                <w:szCs w:val="20"/>
                <w:lang w:val="en-GB" w:eastAsia="de-DE"/>
              </w:rPr>
              <w:object w:dxaOrig="920" w:dyaOrig="340" w14:anchorId="2F529956">
                <v:shape id="_x0000_i1033" type="#_x0000_t75" style="width:45.75pt;height:18pt" o:ole="">
                  <v:imagedata r:id="rId24" o:title=""/>
                </v:shape>
                <o:OLEObject Type="Embed" ProgID="Equation.3" ShapeID="_x0000_i1033" DrawAspect="Content" ObjectID="_1595451598" r:id="rId25"/>
              </w:object>
            </w:r>
            <w:r w:rsidRPr="00725DCB">
              <w:rPr>
                <w:i/>
                <w:sz w:val="20"/>
                <w:szCs w:val="20"/>
                <w:lang w:val="en-GB" w:eastAsia="de-DE"/>
              </w:rPr>
              <w:t xml:space="preserve"> for the first adjacent RB outside of the allocated bandwidth. </w:t>
            </w:r>
          </w:p>
          <w:p w14:paraId="6D40D11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10:</w:t>
            </w:r>
            <w:r w:rsidRPr="00725DCB">
              <w:rPr>
                <w:i/>
                <w:sz w:val="20"/>
                <w:szCs w:val="20"/>
                <w:lang w:val="en-GB" w:eastAsia="de-DE"/>
              </w:rPr>
              <w:tab/>
            </w:r>
            <w:r w:rsidRPr="00725DCB">
              <w:rPr>
                <w:i/>
                <w:sz w:val="20"/>
                <w:szCs w:val="20"/>
                <w:lang w:val="en-GB" w:eastAsia="de-DE"/>
              </w:rPr>
              <w:object w:dxaOrig="380" w:dyaOrig="340" w14:anchorId="0ED1341D">
                <v:shape id="_x0000_i1034" type="#_x0000_t75" style="width:18pt;height:18pt" o:ole="">
                  <v:imagedata r:id="rId26" o:title=""/>
                </v:shape>
                <o:OLEObject Type="Embed" ProgID="Equation.3" ShapeID="_x0000_i1034" DrawAspect="Content" ObjectID="_1595451599" r:id="rId27"/>
              </w:object>
            </w:r>
            <w:r w:rsidRPr="00725DCB">
              <w:rPr>
                <w:i/>
                <w:sz w:val="20"/>
                <w:szCs w:val="20"/>
                <w:lang w:val="en-GB" w:eastAsia="de-DE"/>
              </w:rPr>
              <w:t xml:space="preserve"> is the transmitted power normalized by the number of allocated RBs, measured in dBm.</w:t>
            </w:r>
          </w:p>
        </w:tc>
      </w:tr>
    </w:tbl>
    <w:p w14:paraId="5A310B20" w14:textId="77777777" w:rsidR="00725DCB" w:rsidRDefault="00725DCB" w:rsidP="004F7D33">
      <w:pPr>
        <w:shd w:val="clear" w:color="auto" w:fill="E7E6E6"/>
        <w:spacing w:after="180" w:line="240" w:lineRule="auto"/>
        <w:rPr>
          <w:i/>
          <w:sz w:val="20"/>
          <w:szCs w:val="20"/>
          <w:lang w:val="en-GB" w:eastAsia="de-DE"/>
        </w:rPr>
      </w:pPr>
    </w:p>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14:paraId="4A8C020A" w14:textId="3625995E"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a regulatory requirement, it is proposed to apply </w:t>
      </w:r>
      <w:r>
        <w:rPr>
          <w:lang w:eastAsia="en-US"/>
        </w:rPr>
        <w:t>normal</w:t>
      </w:r>
      <w:r w:rsidR="00725DCB">
        <w:rPr>
          <w:lang w:eastAsia="en-US"/>
        </w:rPr>
        <w:t xml:space="preserve"> condition as test environment in order to save test time.</w:t>
      </w:r>
    </w:p>
    <w:bookmarkEnd w:id="1"/>
    <w:bookmarkEnd w:id="2"/>
    <w:p w14:paraId="79818CEA" w14:textId="0954762E"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42B8FD11" w:rsidR="00725DCB" w:rsidRDefault="00725DCB" w:rsidP="00DF443F">
      <w:pPr>
        <w:jc w:val="both"/>
        <w:rPr>
          <w:lang w:eastAsia="en-US"/>
        </w:rPr>
      </w:pPr>
      <w:r>
        <w:rPr>
          <w:lang w:eastAsia="en-US"/>
        </w:rPr>
        <w:t>As the Carrier Leakage is a sinusoidal unmodulated signal it is not expected that its power level depends on the choice of subcarrier spacing.</w:t>
      </w:r>
    </w:p>
    <w:p w14:paraId="2397B002" w14:textId="647FADE9"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5D4A644F"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6"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6"/>
    <w:p w14:paraId="5FC9166E" w14:textId="3511D8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016AD696" w14:textId="15687B80" w:rsidR="009B3EA0" w:rsidRPr="003B026C" w:rsidRDefault="00725DCB" w:rsidP="009B3EA0">
      <w:pPr>
        <w:rPr>
          <w:lang w:eastAsia="en-US"/>
        </w:rPr>
      </w:pPr>
      <w:r>
        <w:rPr>
          <w:lang w:eastAsia="en-US"/>
        </w:rPr>
        <w:t>In LTE Carrier Leakage is tested for test points without MPR. Therefore, DFT-s-OFDM QPSK should be selected as modulation and waveform as it does not have any MPR.</w:t>
      </w:r>
    </w:p>
    <w:p w14:paraId="7AB6FAE0" w14:textId="01BA6FE1"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 xml:space="preserve">Carrier Leakage with DFT-s-OFDM QPSK. </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3600A5F0" w:rsidR="00062ECE" w:rsidRDefault="009B3EA0" w:rsidP="009B3EA0">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062ECE">
        <w:rPr>
          <w:lang w:eastAsia="en-US"/>
        </w:rPr>
        <w:t>F</w:t>
      </w:r>
      <w:r w:rsidR="00725DCB">
        <w:rPr>
          <w:lang w:eastAsia="en-US"/>
        </w:rPr>
        <w:t>or 5G the DC carrier is no longer fixed at the center of the channel bandwidth but can be located anywhere</w:t>
      </w:r>
      <w:r w:rsidR="00062ECE">
        <w:rPr>
          <w:lang w:eastAsia="en-US"/>
        </w:rPr>
        <w:t xml:space="preserve"> inside the channel. However, Carrier Leakage can only be measured when the RB at the position of the DC carrier</w:t>
      </w:r>
      <w:r w:rsidR="00725DCB">
        <w:rPr>
          <w:lang w:eastAsia="en-US"/>
        </w:rPr>
        <w:t xml:space="preserve"> </w:t>
      </w:r>
      <w:r w:rsidR="00062ECE">
        <w:rPr>
          <w:lang w:eastAsia="en-US"/>
        </w:rPr>
        <w:t>is not allocated. 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3EBEA183" w:rsidR="009B3EA0" w:rsidRPr="003B026C" w:rsidRDefault="009B3EA0" w:rsidP="009B3EA0">
      <w:pPr>
        <w:rPr>
          <w:lang w:eastAsia="en-US"/>
        </w:rPr>
      </w:pPr>
      <w:r w:rsidRPr="003B026C">
        <w:rPr>
          <w:b/>
          <w:lang w:eastAsia="en-US"/>
        </w:rPr>
        <w:t>Proposal 6</w:t>
      </w:r>
      <w:r w:rsidRPr="003B026C">
        <w:rPr>
          <w:lang w:eastAsia="en-US"/>
        </w:rPr>
        <w:t xml:space="preserve">: Test </w:t>
      </w:r>
      <w:r w:rsidR="00062ECE">
        <w:rPr>
          <w:lang w:eastAsia="en-US"/>
        </w:rPr>
        <w:t xml:space="preserve">Carrier Leakage with Inner_1RB_Left. In case the signaled carrier position is at Inner_1RB_Left, use Inner_1RB_Right.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lastRenderedPageBreak/>
        <w:tab/>
        <w:t>Conclusion</w:t>
      </w:r>
    </w:p>
    <w:p w14:paraId="043F6814" w14:textId="258B9D5E"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FR1:</w:t>
      </w:r>
    </w:p>
    <w:p w14:paraId="1172B584" w14:textId="77777777"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p>
    <w:p w14:paraId="0908A20F" w14:textId="77777777"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p>
    <w:p w14:paraId="38D51DD4" w14:textId="77777777"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w:t>
      </w:r>
      <w:proofErr w:type="spellStart"/>
      <w:proofErr w:type="gramStart"/>
      <w:r>
        <w:rPr>
          <w:lang w:eastAsia="en-US"/>
        </w:rPr>
        <w:t>Mid</w:t>
      </w:r>
      <w:proofErr w:type="gramEnd"/>
      <w:r>
        <w:rPr>
          <w:lang w:eastAsia="en-US"/>
        </w:rPr>
        <w:t xml:space="preserve"> range</w:t>
      </w:r>
      <w:proofErr w:type="spellEnd"/>
      <w:r>
        <w:rPr>
          <w:lang w:eastAsia="en-US"/>
        </w:rPr>
        <w:t>, and High range frequencies in FR1.</w:t>
      </w:r>
    </w:p>
    <w:p w14:paraId="2F7F4275" w14:textId="77777777"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p>
    <w:p w14:paraId="42983F73" w14:textId="2F740F67"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p>
    <w:p w14:paraId="73DB4DFD" w14:textId="4EB9E4ED" w:rsidR="00062ECE" w:rsidRPr="003B026C" w:rsidRDefault="00062ECE" w:rsidP="00062ECE">
      <w:pPr>
        <w:rPr>
          <w:lang w:eastAsia="en-US"/>
        </w:rPr>
      </w:pPr>
      <w:r w:rsidRPr="003B026C">
        <w:rPr>
          <w:b/>
          <w:lang w:eastAsia="en-US"/>
        </w:rPr>
        <w:t>Proposal 6</w:t>
      </w:r>
      <w:r w:rsidRPr="003B026C">
        <w:rPr>
          <w:lang w:eastAsia="en-US"/>
        </w:rPr>
        <w:t xml:space="preserve">: Test </w:t>
      </w:r>
      <w:r>
        <w:rPr>
          <w:lang w:eastAsia="en-US"/>
        </w:rPr>
        <w:t xml:space="preserve">Carrier Leakage with Inner_1RB_Left. In case the signaled carrier position is at Inner_1RB_Left, use Inner_1RB_Right.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6B6C1" w14:textId="77777777" w:rsidR="003F2D2A" w:rsidRDefault="003F2D2A" w:rsidP="00371D7D">
      <w:r>
        <w:separator/>
      </w:r>
    </w:p>
  </w:endnote>
  <w:endnote w:type="continuationSeparator" w:id="0">
    <w:p w14:paraId="7397AED6" w14:textId="77777777" w:rsidR="003F2D2A" w:rsidRDefault="003F2D2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104117C"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34D07">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311DC" w14:textId="77777777" w:rsidR="003F2D2A" w:rsidRDefault="003F2D2A" w:rsidP="00371D7D">
      <w:r>
        <w:separator/>
      </w:r>
    </w:p>
  </w:footnote>
  <w:footnote w:type="continuationSeparator" w:id="0">
    <w:p w14:paraId="3B61A059" w14:textId="77777777" w:rsidR="003F2D2A" w:rsidRDefault="003F2D2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688E-5ACE-4417-9DC4-946411971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1135</Words>
  <Characters>6471</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2018-08-10T22:10:00Z</dcterms:modified>
  <cp:category/>
</cp:coreProperties>
</file>